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8AF" w:rsidRPr="00000C58" w:rsidRDefault="002678AF" w:rsidP="002678AF">
      <w:pPr>
        <w:pStyle w:val="a"/>
        <w:numPr>
          <w:ilvl w:val="0"/>
          <w:numId w:val="0"/>
        </w:numPr>
        <w:snapToGrid w:val="0"/>
        <w:spacing w:before="0" w:after="0" w:line="360" w:lineRule="auto"/>
        <w:ind w:left="420" w:hanging="420"/>
        <w:jc w:val="left"/>
        <w:rPr>
          <w:rFonts w:ascii="华文中宋" w:eastAsia="华文中宋" w:hAnsi="华文中宋"/>
          <w:sz w:val="36"/>
          <w:szCs w:val="36"/>
        </w:rPr>
      </w:pPr>
      <w:bookmarkStart w:id="0" w:name="_Toc466384089"/>
      <w:bookmarkStart w:id="1" w:name="_Toc468974308"/>
      <w:bookmarkStart w:id="2" w:name="_Toc469300577"/>
      <w:bookmarkStart w:id="3" w:name="_GoBack"/>
      <w:r w:rsidRPr="00000C58">
        <w:rPr>
          <w:rFonts w:ascii="华文中宋" w:eastAsia="华文中宋" w:hAnsi="华文中宋" w:hint="eastAsia"/>
          <w:sz w:val="36"/>
          <w:szCs w:val="36"/>
        </w:rPr>
        <w:t>附件2</w:t>
      </w:r>
      <w:r w:rsidRPr="00000C58">
        <w:rPr>
          <w:rFonts w:ascii="华文中宋" w:eastAsia="华文中宋" w:hAnsi="华文中宋"/>
          <w:sz w:val="36"/>
          <w:szCs w:val="36"/>
        </w:rPr>
        <w:t>：</w:t>
      </w:r>
      <w:r w:rsidRPr="00000C58">
        <w:rPr>
          <w:rFonts w:ascii="华文中宋" w:eastAsia="华文中宋" w:hAnsi="华文中宋" w:hint="eastAsia"/>
          <w:sz w:val="36"/>
          <w:szCs w:val="36"/>
        </w:rPr>
        <w:t>开放课题协议书</w:t>
      </w:r>
      <w:bookmarkEnd w:id="0"/>
      <w:bookmarkEnd w:id="1"/>
      <w:bookmarkEnd w:id="2"/>
    </w:p>
    <w:bookmarkEnd w:id="3"/>
    <w:p w:rsidR="002678AF" w:rsidRPr="00F15CB0" w:rsidRDefault="002678AF" w:rsidP="002678AF">
      <w:pPr>
        <w:pStyle w:val="a4"/>
        <w:spacing w:line="500" w:lineRule="exact"/>
        <w:ind w:firstLine="480"/>
        <w:rPr>
          <w:rFonts w:ascii="仿宋_GB2312" w:eastAsia="仿宋_GB2312" w:hAnsiTheme="minorEastAsia"/>
          <w:szCs w:val="28"/>
        </w:rPr>
      </w:pPr>
      <w:r w:rsidRPr="00F15CB0">
        <w:rPr>
          <w:rFonts w:ascii="仿宋_GB2312" w:eastAsia="仿宋_GB2312" w:hAnsiTheme="minorEastAsia" w:hint="eastAsia"/>
          <w:szCs w:val="28"/>
        </w:rPr>
        <w:t>新药研究国家重点实验室（中科院上海药物研究所）贯彻“开放、流动、联合、竞争”的方针，热忱欢迎国内外研究人员来室工作。经专家评审、学委会审议、学术委员会主任审定，决定对</w:t>
      </w:r>
      <w:r w:rsidRPr="00F15CB0">
        <w:rPr>
          <w:rFonts w:ascii="仿宋_GB2312" w:eastAsia="仿宋_GB2312" w:hAnsiTheme="minorEastAsia" w:hint="eastAsia"/>
          <w:kern w:val="0"/>
          <w:szCs w:val="28"/>
          <w:u w:val="single"/>
        </w:rPr>
        <w:t xml:space="preserve">    </w:t>
      </w:r>
      <w:r w:rsidRPr="00F15CB0">
        <w:rPr>
          <w:rFonts w:ascii="仿宋_GB2312" w:eastAsia="仿宋_GB2312" w:hAnsiTheme="minorEastAsia" w:hint="eastAsia"/>
          <w:szCs w:val="28"/>
        </w:rPr>
        <w:t>老师申请的开放课题“</w:t>
      </w:r>
      <w:r w:rsidRPr="00F15CB0">
        <w:rPr>
          <w:rFonts w:ascii="仿宋_GB2312" w:eastAsia="仿宋_GB2312" w:hAnsiTheme="minorEastAsia" w:hint="eastAsia"/>
          <w:kern w:val="0"/>
          <w:szCs w:val="28"/>
          <w:u w:val="single"/>
        </w:rPr>
        <w:t xml:space="preserve">                </w:t>
      </w:r>
      <w:r w:rsidRPr="00F15CB0">
        <w:rPr>
          <w:rFonts w:ascii="仿宋_GB2312" w:eastAsia="仿宋_GB2312" w:hAnsiTheme="minorEastAsia" w:hint="eastAsia"/>
          <w:szCs w:val="28"/>
        </w:rPr>
        <w:t>”给予立项资助，课题经费_____万元，执行时间为1年。为了加强管理，明确责任及义务，达成如下协议：</w:t>
      </w:r>
    </w:p>
    <w:p w:rsidR="002678AF" w:rsidRPr="00F15CB0" w:rsidRDefault="002678AF" w:rsidP="002678AF">
      <w:pPr>
        <w:pStyle w:val="a4"/>
        <w:spacing w:line="500" w:lineRule="exact"/>
        <w:rPr>
          <w:rFonts w:ascii="仿宋_GB2312" w:eastAsia="仿宋_GB2312" w:hAnsiTheme="minorEastAsia"/>
          <w:szCs w:val="28"/>
        </w:rPr>
      </w:pP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开放课题研究人员应遵守上海药物研究所和新药研究国家重点实验室的相关规章制度。</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开放课题研究人员应对与重点实验室合作研究课题承担保密义务，如有工作汇报或学术会议交流需要，须事先征得重点实验室合作方同意。本课题产生的成果在国内外各种出版物上发表（包括申请专利）时,需事先征得重点实验室合作方或新药研究国家重点实验室办公室审核同意。</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自带课题来室研究的开放课题研究人员，做出的成果（包括申请专利）属开放课题研究人员所属单位及本实验室共同所有。发表论文时的名次排列根据在完成课题中所起作用协商决定。按科技部下达的《国家重点实验室评估规则》和《国家重点实验室建设与运行管理办法》，开放课题发表的论文中，</w:t>
      </w:r>
      <w:r w:rsidRPr="00F15CB0">
        <w:rPr>
          <w:rFonts w:ascii="仿宋_GB2312" w:eastAsia="仿宋_GB2312" w:hAnsiTheme="minorEastAsia" w:hint="eastAsia"/>
          <w:szCs w:val="28"/>
          <w:u w:val="single"/>
        </w:rPr>
        <w:t xml:space="preserve">作者单位必须写入新药研究国家重点实验室（中国科学院上海药物研究所），英文：State key Laboratory of Drug Research, Shanghai Institute of </w:t>
      </w:r>
      <w:proofErr w:type="spellStart"/>
      <w:r w:rsidRPr="00F15CB0">
        <w:rPr>
          <w:rFonts w:ascii="仿宋_GB2312" w:eastAsia="仿宋_GB2312" w:hAnsiTheme="minorEastAsia" w:hint="eastAsia"/>
          <w:szCs w:val="28"/>
          <w:u w:val="single"/>
        </w:rPr>
        <w:t>Materia</w:t>
      </w:r>
      <w:proofErr w:type="spellEnd"/>
      <w:r w:rsidRPr="00F15CB0">
        <w:rPr>
          <w:rFonts w:ascii="仿宋_GB2312" w:eastAsia="仿宋_GB2312" w:hAnsiTheme="minorEastAsia" w:hint="eastAsia"/>
          <w:szCs w:val="28"/>
          <w:u w:val="single"/>
        </w:rPr>
        <w:t xml:space="preserve"> </w:t>
      </w:r>
      <w:proofErr w:type="spellStart"/>
      <w:r w:rsidRPr="00F15CB0">
        <w:rPr>
          <w:rFonts w:ascii="仿宋_GB2312" w:eastAsia="仿宋_GB2312" w:hAnsiTheme="minorEastAsia" w:hint="eastAsia"/>
          <w:szCs w:val="28"/>
          <w:u w:val="single"/>
        </w:rPr>
        <w:t>Medica</w:t>
      </w:r>
      <w:proofErr w:type="spellEnd"/>
      <w:r w:rsidRPr="00F15CB0">
        <w:rPr>
          <w:rFonts w:ascii="仿宋_GB2312" w:eastAsia="仿宋_GB2312" w:hAnsiTheme="minorEastAsia" w:hint="eastAsia"/>
          <w:szCs w:val="28"/>
          <w:u w:val="single"/>
        </w:rPr>
        <w:t>, Chinese Academy of Sciences,</w:t>
      </w:r>
      <w:r w:rsidRPr="00F15CB0">
        <w:rPr>
          <w:rFonts w:ascii="仿宋_GB2312" w:eastAsia="仿宋_GB2312" w:hAnsiTheme="minorEastAsia" w:hint="eastAsia"/>
          <w:szCs w:val="28"/>
        </w:rPr>
        <w:t>和作者原单位名称并列，并在致谢部分注明论文得到新药研究国家重点实验室开放基金资助（supported by the State Key Laboratory of Drug Research）。</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color w:val="000000"/>
          <w:kern w:val="0"/>
          <w:szCs w:val="28"/>
        </w:rPr>
      </w:pPr>
      <w:r w:rsidRPr="00F15CB0">
        <w:rPr>
          <w:rFonts w:ascii="仿宋_GB2312" w:eastAsia="仿宋_GB2312" w:hAnsiTheme="minorEastAsia" w:hint="eastAsia"/>
          <w:color w:val="000000"/>
          <w:kern w:val="0"/>
          <w:szCs w:val="28"/>
        </w:rPr>
        <w:t>开放课题立项后，课题负责人需提供经费使用预算，重点实验</w:t>
      </w:r>
      <w:r w:rsidRPr="00F15CB0">
        <w:rPr>
          <w:rFonts w:ascii="仿宋_GB2312" w:eastAsia="仿宋_GB2312" w:hAnsiTheme="minorEastAsia" w:hint="eastAsia"/>
          <w:color w:val="000000"/>
          <w:kern w:val="0"/>
          <w:szCs w:val="28"/>
        </w:rPr>
        <w:lastRenderedPageBreak/>
        <w:t>室办公室审核通过后划拨经费。课题执行期间，课题负责人必须严格按照预算使用经费，课题完成后需提供经费使用决算表。实验室发现开放课题开展计划与原计划不符或不能完成计划，实验室有权调整、终止或视情况决定是否追还开放课题经费。</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开放课题研究人员需按照要求定期提交课题的进展，课题完成后按要求递交总结报告和有关学术论文。研究成果由新药研究国家重点实验室学术委员会</w:t>
      </w:r>
      <w:proofErr w:type="gramStart"/>
      <w:r w:rsidRPr="00F15CB0">
        <w:rPr>
          <w:rFonts w:ascii="仿宋_GB2312" w:eastAsia="仿宋_GB2312" w:hAnsiTheme="minorEastAsia" w:hint="eastAsia"/>
          <w:szCs w:val="28"/>
        </w:rPr>
        <w:t>作出</w:t>
      </w:r>
      <w:proofErr w:type="gramEnd"/>
      <w:r w:rsidRPr="00F15CB0">
        <w:rPr>
          <w:rFonts w:ascii="仿宋_GB2312" w:eastAsia="仿宋_GB2312" w:hAnsiTheme="minorEastAsia" w:hint="eastAsia"/>
          <w:szCs w:val="28"/>
        </w:rPr>
        <w:t>评价。实验室将根据课题执行情况决定是否予以继续资助。</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开放课题研究人员在完成课题任务后，或因各种原因暂停、终止原课题研究时，应将课题总结和原始技术档案（实验技术数据、资料等）存档收据（收据由承担课题单位的档案部门出具，盖章有效）提交重点实验室办公室。</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违反上述规定的开放课题研究人员，将影响今后的课题申请，严重者将追究法律责任。</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本协议自课题批准之日起开始执行，有效期为1年。</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本协议一式二份，甲、乙双方各执一份。</w:t>
      </w:r>
    </w:p>
    <w:p w:rsidR="002678AF" w:rsidRPr="00F15CB0" w:rsidRDefault="002678AF" w:rsidP="002678AF">
      <w:pPr>
        <w:pStyle w:val="a4"/>
        <w:numPr>
          <w:ilvl w:val="0"/>
          <w:numId w:val="1"/>
        </w:numPr>
        <w:tabs>
          <w:tab w:val="clear" w:pos="1290"/>
          <w:tab w:val="num" w:pos="525"/>
        </w:tabs>
        <w:adjustRightInd/>
        <w:snapToGrid/>
        <w:spacing w:line="500" w:lineRule="exact"/>
        <w:ind w:left="525" w:hanging="525"/>
        <w:rPr>
          <w:rFonts w:ascii="仿宋_GB2312" w:eastAsia="仿宋_GB2312" w:hAnsiTheme="minorEastAsia"/>
          <w:szCs w:val="28"/>
        </w:rPr>
      </w:pPr>
      <w:r w:rsidRPr="00F15CB0">
        <w:rPr>
          <w:rFonts w:ascii="仿宋_GB2312" w:eastAsia="仿宋_GB2312" w:hAnsiTheme="minorEastAsia" w:hint="eastAsia"/>
          <w:szCs w:val="28"/>
        </w:rPr>
        <w:t>本协议解释权在新药研究国家重点实验室。</w:t>
      </w:r>
    </w:p>
    <w:p w:rsidR="002678AF" w:rsidRPr="00F15CB0" w:rsidRDefault="002678AF" w:rsidP="002678AF">
      <w:pPr>
        <w:pStyle w:val="a4"/>
        <w:spacing w:line="360" w:lineRule="auto"/>
        <w:rPr>
          <w:rFonts w:ascii="仿宋_GB2312" w:eastAsia="仿宋_GB2312" w:hAnsiTheme="minorEastAsia"/>
          <w:szCs w:val="28"/>
        </w:rPr>
      </w:pPr>
    </w:p>
    <w:tbl>
      <w:tblPr>
        <w:tblW w:w="9558" w:type="dxa"/>
        <w:tblLook w:val="0000" w:firstRow="0" w:lastRow="0" w:firstColumn="0" w:lastColumn="0" w:noHBand="0" w:noVBand="0"/>
      </w:tblPr>
      <w:tblGrid>
        <w:gridCol w:w="4728"/>
        <w:gridCol w:w="4830"/>
      </w:tblGrid>
      <w:tr w:rsidR="002678AF" w:rsidRPr="00F15CB0" w:rsidTr="0050147D">
        <w:trPr>
          <w:cantSplit/>
          <w:trHeight w:val="1430"/>
        </w:trPr>
        <w:tc>
          <w:tcPr>
            <w:tcW w:w="4728" w:type="dxa"/>
          </w:tcPr>
          <w:p w:rsidR="002678AF" w:rsidRPr="00F15CB0" w:rsidRDefault="002678AF" w:rsidP="0050147D">
            <w:pPr>
              <w:spacing w:line="400" w:lineRule="exact"/>
              <w:ind w:left="560" w:hangingChars="200" w:hanging="560"/>
              <w:rPr>
                <w:rFonts w:ascii="仿宋_GB2312" w:eastAsia="仿宋_GB2312" w:hAnsiTheme="minorEastAsia"/>
                <w:sz w:val="28"/>
                <w:szCs w:val="28"/>
              </w:rPr>
            </w:pPr>
          </w:p>
          <w:p w:rsidR="002678AF" w:rsidRPr="00F15CB0" w:rsidRDefault="002678AF" w:rsidP="0050147D">
            <w:pPr>
              <w:spacing w:line="400" w:lineRule="exact"/>
              <w:ind w:left="560" w:hangingChars="200" w:hanging="560"/>
              <w:rPr>
                <w:rFonts w:ascii="仿宋_GB2312" w:eastAsia="仿宋_GB2312" w:hAnsiTheme="minorEastAsia"/>
                <w:sz w:val="28"/>
                <w:szCs w:val="28"/>
              </w:rPr>
            </w:pPr>
          </w:p>
          <w:p w:rsidR="002678AF" w:rsidRPr="00F15CB0" w:rsidRDefault="002678AF" w:rsidP="0050147D">
            <w:pPr>
              <w:spacing w:line="400" w:lineRule="exact"/>
              <w:ind w:left="560" w:hangingChars="200" w:hanging="560"/>
              <w:rPr>
                <w:rFonts w:ascii="仿宋_GB2312" w:eastAsia="仿宋_GB2312" w:hAnsiTheme="minorEastAsia"/>
                <w:sz w:val="28"/>
                <w:szCs w:val="28"/>
              </w:rPr>
            </w:pPr>
            <w:r w:rsidRPr="00F15CB0">
              <w:rPr>
                <w:rFonts w:ascii="仿宋_GB2312" w:eastAsia="仿宋_GB2312" w:hAnsiTheme="minorEastAsia" w:hint="eastAsia"/>
                <w:sz w:val="28"/>
                <w:szCs w:val="28"/>
              </w:rPr>
              <w:t>中国科学院上海药物研究所</w:t>
            </w:r>
          </w:p>
          <w:p w:rsidR="002678AF" w:rsidRPr="00F15CB0" w:rsidRDefault="002678AF" w:rsidP="0050147D">
            <w:pPr>
              <w:spacing w:line="400" w:lineRule="exact"/>
              <w:ind w:left="560" w:hangingChars="200" w:hanging="560"/>
              <w:rPr>
                <w:rFonts w:ascii="仿宋_GB2312" w:eastAsia="仿宋_GB2312" w:hAnsiTheme="minorEastAsia"/>
                <w:sz w:val="28"/>
                <w:szCs w:val="28"/>
              </w:rPr>
            </w:pPr>
          </w:p>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新药研究国家重点实验室</w:t>
            </w:r>
          </w:p>
        </w:tc>
        <w:tc>
          <w:tcPr>
            <w:tcW w:w="4830" w:type="dxa"/>
          </w:tcPr>
          <w:p w:rsidR="002678AF" w:rsidRPr="00F15CB0" w:rsidRDefault="002678AF" w:rsidP="0050147D">
            <w:pPr>
              <w:spacing w:line="400" w:lineRule="exact"/>
              <w:rPr>
                <w:rFonts w:ascii="仿宋_GB2312" w:eastAsia="仿宋_GB2312" w:hAnsiTheme="minorEastAsia"/>
                <w:sz w:val="28"/>
                <w:szCs w:val="28"/>
              </w:rPr>
            </w:pPr>
          </w:p>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开放课题负责人（签字）：</w:t>
            </w:r>
          </w:p>
          <w:p w:rsidR="002678AF" w:rsidRPr="00F15CB0" w:rsidRDefault="002678AF" w:rsidP="0050147D">
            <w:pPr>
              <w:spacing w:line="400" w:lineRule="exact"/>
              <w:rPr>
                <w:rFonts w:ascii="仿宋_GB2312" w:eastAsia="仿宋_GB2312" w:hAnsiTheme="minorEastAsia"/>
                <w:sz w:val="28"/>
                <w:szCs w:val="28"/>
              </w:rPr>
            </w:pPr>
          </w:p>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 xml:space="preserve">单位负责人（签章）： </w:t>
            </w:r>
          </w:p>
          <w:p w:rsidR="002678AF" w:rsidRPr="00F15CB0" w:rsidRDefault="002678AF" w:rsidP="0050147D">
            <w:pPr>
              <w:spacing w:line="400" w:lineRule="exact"/>
              <w:rPr>
                <w:rFonts w:ascii="仿宋_GB2312" w:eastAsia="仿宋_GB2312" w:hAnsiTheme="minorEastAsia"/>
                <w:sz w:val="28"/>
                <w:szCs w:val="28"/>
              </w:rPr>
            </w:pPr>
          </w:p>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单位盖章：</w:t>
            </w:r>
          </w:p>
          <w:p w:rsidR="002678AF" w:rsidRPr="00F15CB0" w:rsidRDefault="002678AF" w:rsidP="0050147D">
            <w:pPr>
              <w:spacing w:line="400" w:lineRule="exact"/>
              <w:rPr>
                <w:rFonts w:ascii="仿宋_GB2312" w:eastAsia="仿宋_GB2312" w:hAnsiTheme="minorEastAsia"/>
                <w:sz w:val="28"/>
                <w:szCs w:val="28"/>
              </w:rPr>
            </w:pPr>
          </w:p>
        </w:tc>
      </w:tr>
      <w:tr w:rsidR="002678AF" w:rsidRPr="00F15CB0" w:rsidTr="0050147D">
        <w:trPr>
          <w:cantSplit/>
          <w:trHeight w:val="929"/>
        </w:trPr>
        <w:tc>
          <w:tcPr>
            <w:tcW w:w="4728" w:type="dxa"/>
            <w:vAlign w:val="center"/>
          </w:tcPr>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日期：____年____月____日</w:t>
            </w:r>
          </w:p>
        </w:tc>
        <w:tc>
          <w:tcPr>
            <w:tcW w:w="4830" w:type="dxa"/>
            <w:vAlign w:val="center"/>
          </w:tcPr>
          <w:p w:rsidR="002678AF" w:rsidRPr="00F15CB0" w:rsidRDefault="002678AF" w:rsidP="0050147D">
            <w:pPr>
              <w:spacing w:line="400" w:lineRule="exact"/>
              <w:rPr>
                <w:rFonts w:ascii="仿宋_GB2312" w:eastAsia="仿宋_GB2312" w:hAnsiTheme="minorEastAsia"/>
                <w:sz w:val="28"/>
                <w:szCs w:val="28"/>
              </w:rPr>
            </w:pPr>
            <w:r w:rsidRPr="00F15CB0">
              <w:rPr>
                <w:rFonts w:ascii="仿宋_GB2312" w:eastAsia="仿宋_GB2312" w:hAnsiTheme="minorEastAsia" w:hint="eastAsia"/>
                <w:sz w:val="28"/>
                <w:szCs w:val="28"/>
              </w:rPr>
              <w:t>日期：____年____月____日</w:t>
            </w:r>
          </w:p>
        </w:tc>
      </w:tr>
    </w:tbl>
    <w:p w:rsidR="002678AF" w:rsidRPr="00F15CB0" w:rsidRDefault="002678AF" w:rsidP="002678AF">
      <w:pPr>
        <w:widowControl/>
        <w:jc w:val="left"/>
        <w:rPr>
          <w:rFonts w:ascii="仿宋_GB2312" w:eastAsia="仿宋_GB2312"/>
          <w:b/>
          <w:bCs/>
          <w:sz w:val="44"/>
          <w:szCs w:val="32"/>
        </w:rPr>
      </w:pPr>
      <w:r w:rsidRPr="00F15CB0">
        <w:rPr>
          <w:rFonts w:ascii="仿宋_GB2312" w:eastAsia="仿宋_GB2312" w:hint="eastAsia"/>
        </w:rPr>
        <w:br w:type="page"/>
      </w:r>
    </w:p>
    <w:p w:rsidR="007D6E38" w:rsidRDefault="002678AF"/>
    <w:sectPr w:rsidR="007D6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71F37"/>
    <w:multiLevelType w:val="hybridMultilevel"/>
    <w:tmpl w:val="B086B710"/>
    <w:lvl w:ilvl="0" w:tplc="E8A6E278">
      <w:start w:val="1"/>
      <w:numFmt w:val="chineseCountingThousand"/>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11986"/>
    <w:multiLevelType w:val="hybridMultilevel"/>
    <w:tmpl w:val="430C7EF8"/>
    <w:lvl w:ilvl="0" w:tplc="A342B7C2">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AF"/>
    <w:rsid w:val="002678AF"/>
    <w:rsid w:val="008167F1"/>
    <w:rsid w:val="00B9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9EC57-5A6D-4114-A22A-7F04EDA8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78A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semiHidden/>
    <w:rsid w:val="002678AF"/>
    <w:pPr>
      <w:adjustRightInd w:val="0"/>
      <w:snapToGrid w:val="0"/>
    </w:pPr>
    <w:rPr>
      <w:sz w:val="28"/>
    </w:rPr>
  </w:style>
  <w:style w:type="character" w:customStyle="1" w:styleId="Char">
    <w:name w:val="正文文本 Char"/>
    <w:basedOn w:val="a1"/>
    <w:link w:val="a4"/>
    <w:semiHidden/>
    <w:rsid w:val="002678AF"/>
    <w:rPr>
      <w:rFonts w:ascii="Times New Roman" w:eastAsia="宋体" w:hAnsi="Times New Roman" w:cs="Times New Roman"/>
      <w:sz w:val="28"/>
      <w:szCs w:val="24"/>
    </w:rPr>
  </w:style>
  <w:style w:type="paragraph" w:styleId="a">
    <w:name w:val="Title"/>
    <w:basedOn w:val="a0"/>
    <w:next w:val="a0"/>
    <w:link w:val="Char0"/>
    <w:qFormat/>
    <w:rsid w:val="002678AF"/>
    <w:pPr>
      <w:numPr>
        <w:numId w:val="2"/>
      </w:numPr>
      <w:spacing w:before="240" w:after="60"/>
      <w:jc w:val="center"/>
      <w:outlineLvl w:val="0"/>
    </w:pPr>
    <w:rPr>
      <w:rFonts w:ascii="Cambria" w:eastAsia="黑体" w:hAnsi="Cambria"/>
      <w:b/>
      <w:bCs/>
      <w:sz w:val="44"/>
      <w:szCs w:val="32"/>
    </w:rPr>
  </w:style>
  <w:style w:type="character" w:customStyle="1" w:styleId="Char0">
    <w:name w:val="标题 Char"/>
    <w:basedOn w:val="a1"/>
    <w:link w:val="a"/>
    <w:rsid w:val="002678AF"/>
    <w:rPr>
      <w:rFonts w:ascii="Cambria" w:eastAsia="黑体" w:hAnsi="Cambria"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dc:creator>
  <cp:keywords/>
  <dc:description/>
  <cp:lastModifiedBy>mrr</cp:lastModifiedBy>
  <cp:revision>1</cp:revision>
  <dcterms:created xsi:type="dcterms:W3CDTF">2016-12-13T06:45:00Z</dcterms:created>
  <dcterms:modified xsi:type="dcterms:W3CDTF">2016-12-13T06:45:00Z</dcterms:modified>
</cp:coreProperties>
</file>